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NW_29213 (Nordrhein-Westfalen) — Offenlegung des Liegenschaftskatasters</w:t>
      </w:r>
    </w:p>
    <w:p>
      <w:r>
        <w:rPr>
          <w:color w:val="555555"/>
          <w:sz w:val="18"/>
        </w:rPr>
        <w:t xml:space="preserve">DVOzVermKatG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Im Verfahren der Offenlegung gemäß § 13 Absatz 5 des Vermessungs- und Katastergesetzes sind für die Veränderungen der alte und neue Bestand im Umfang des § 13 Absatz 3 des Vermessungs- und Katastergesetzes zur Einsichtnahme gegenüberzustellen.</w:t>
      </w:r>
    </w:p>
    <w:p>
      <w:r>
        <w:t xml:space="preserve">(2) Die Bestände nach Absatz 1 sind in den Diensträumen der Katasterbehörde oder der Gemeinde, in deren Gebiet sich die betroffenen Liegenschaften befinden, unter Beachtung des § 14 Absatz 2 des Vermessungs- und Katastergesetzes zur Einsichtnahme bereitzustellen; ergänzend können Geodatendienste genutzt werden.</w:t>
      </w:r>
    </w:p>
    <w:p>
      <w:r>
        <w:t xml:space="preserve">(3) Ort und Zeit der Offenlegung sind mindestens eine Woche vor Beginn der Offenlegung von der Katasterbehörde in ihrem Amtsbezirk ortsüblich bekannt zu machen.</w:t>
      </w:r>
    </w:p>
    <w:p>
      <w:r>
        <w:t xml:space="preserve">(4) In der Bekanntmachung nach Absatz 3 ist auf den Zweck der Offenlegung hinzuweisen. Es soll auch angegeben werden, welcher Rechtsbehelf zulässig ist und innerhalb welcher Frist und bei welcher Stelle er einzulegen ist.</w:t>
      </w:r>
    </w:p>
    <w:p>
      <w:r>
        <w:rPr>
          <w:color w:val="555555"/>
          <w:sz w:val="17"/>
        </w:rPr>
        <w:t xml:space="preserve">Zitiervorschlag: § 22 NW_29213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https://recht.nulegal.eu/gesetze/NW_29213/22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