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NW_29213 (Nordrhein-Westfalen) — Elektronische Kommunikation bei Liegenschaftsvermessungen</w:t>
      </w:r>
    </w:p>
    <w:p>
      <w:r>
        <w:rPr>
          <w:color w:val="555555"/>
          <w:sz w:val="18"/>
        </w:rPr>
        <w:t xml:space="preserve">DVOzVermKatG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nach § 21 Absatz 2 des Vermessungs- und Katastergesetzes erforderlichen Erklärungen dürfen nur durch die Beteiligten persönlich oder durch deren Bevollmächtigte ohne die Möglichkeit der elektronischen Kommunikation abgegeben werden.</w:t>
      </w:r>
    </w:p>
    <w:p>
      <w:r>
        <w:t xml:space="preserve">(2) Anträge zur Fortführung des Liegenschaftskatasters können einschließlich der Vermessungsschriften auf elektronischem Wege nach den Bedingungen des § 3a des Verwaltungsverfahrensgesetzes für das Land Nordrhein-Westfalen eingereicht werden. Hierbei sind die elektronischen Abschriften der Vermessungsschriften unter Beachtung des § 33 des Verwaltungsverfahrensgesetzes für das Land Nordrhein-Westfalen zu fertigen. Originale in Papierform sind zeitnah zur Übernahme in das Liegenschaftskataster der Katasterbehörde für die weitere Aufbewahrung einzureichen.</w:t>
      </w:r>
    </w:p>
    <w:p>
      <w:r>
        <w:t xml:space="preserve">(3) Für die elektronische Kommunikation bezüglich der Beurkundung und Beglaubigung von Anträgen auf Vereinigung oder Teilung von Grundstücken nach § 17 des Vermessungs- und Katastergesetzes sind die Regelungen der Grundbuchordnung in der Fassung der Bekanntmachung vom 26. Mai 1994 (BGBl. I S. 1114), die zuletzt durch Artikel 12 des Gesetzes vom 10. Oktober 2013 (BGBl. I S. 3786) geändert worden ist, und der zugehörigen Rechtsverordnungen zu beachten.</w:t>
      </w:r>
    </w:p>
    <w:p>
      <w:r>
        <w:rPr>
          <w:color w:val="555555"/>
          <w:sz w:val="17"/>
        </w:rPr>
        <w:t xml:space="preserve">Zitiervorschlag: § 20 NW_29213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https://recht.nulegal.eu/gesetze/NW_29213/20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