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NW_29213 (Nordrhein-Westfalen) — Nutzung der Geobasisdaten</w:t>
      </w:r>
    </w:p>
    <w:p>
      <w:r>
        <w:rPr>
          <w:color w:val="555555"/>
          <w:sz w:val="18"/>
        </w:rPr>
        <w:t xml:space="preserve">DVOzVermKatG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Nutzung eines amtlichen Dokumentes des Liegenschaftskatasters (Standardausgabe oder Liegenschaftskatasterakte) ist wie folgt erlaubt:</w:t>
      </w:r>
    </w:p>
    <w:p>
      <w:r>
        <w:t xml:space="preserve">1. Das Dokument darf unverändert weitergegeben und veröffentlicht werden,</w:t>
      </w:r>
    </w:p>
    <w:p>
      <w:r>
        <w:t xml:space="preserve">2. eigene Vervielfältigungen dürfen nur angefertigt werden, wenn hierfür die Verantwortung für mögliche Abweichungen vom Original übernommen wird und</w:t>
      </w:r>
    </w:p>
    <w:p>
      <w:r>
        <w:t xml:space="preserve">3. das Dokument darf für eine Weitergabe oder Veröffentlichung nur umgestaltet werden, wenn die Umgestaltung und die hierfür verantwortliche Stelle eindeutig kenntlich gemacht werden.</w:t>
      </w:r>
    </w:p>
    <w:p>
      <w:r>
        <w:t xml:space="preserve">Bei Veröffentlichungen ist ein Quellenvermerk erforderlich, soweit die Quelle nicht unmittelbar aus dem Dokument ersichtlich ist.</w:t>
      </w:r>
    </w:p>
    <w:p>
      <w:r>
        <w:t xml:space="preserve">(2) Für alle sonstigen Geobasisdaten, Metadaten, Dienste und Dokumente gelten die durch den IT-Planungsrat im Datenportal für Deutschland (GovData) veröffentlichten einheitlichen Lizenzbedingungen „Datenlizenz Deutschland - Zero“. Erfolgt die Bereitstellung gemäß § 3a Absatz 5, können abweichende Regelungen festgelegt werden.</w:t>
      </w:r>
    </w:p>
    <w:p>
      <w:r>
        <w:t xml:space="preserve">(3) Für Geobasisdaten, die den datenschutzrechtlichen Vorgaben unterliegen, ist anstelle der Absätze 1 und 2 § 14 des Vermessungs- und Katastergesetzes sowie § 10 dieser Verordnung maßgebend.</w:t>
      </w:r>
    </w:p>
    <w:p>
      <w:r>
        <w:t xml:space="preserve">(4) Die Zustimmung der zuständigen Behörde gemäß § 4 Absatz 1 Satz 2 des Vermessungs- und Katastergesetzes gilt bei Einhaltung der hier aufgeführten Vorgaben als erteilt.</w:t>
      </w:r>
    </w:p>
    <w:p>
      <w:r>
        <w:rPr>
          <w:color w:val="555555"/>
          <w:sz w:val="17"/>
        </w:rPr>
        <w:t xml:space="preserve">Zitiervorschlag: § 11 NW_29213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https://recht.nulegal.eu/gesetze/NW_29213/11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