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NW_29206 (Nordrhein-Westfalen)</w:t>
      </w:r>
    </w:p>
    <w:p>
      <w:r>
        <w:rPr>
          <w:color w:val="555555"/>
          <w:sz w:val="18"/>
        </w:rPr>
        <w:t xml:space="preserve">BBiGZustVO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September 2006</w:t>
      </w:r>
    </w:p>
    <w:p>
      <w:r>
        <w:t xml:space="preserve">Aufgrund</w:t>
      </w:r>
    </w:p>
    <w:p>
      <w:r>
        <w:t xml:space="preserve">1. des § 5 Abs. 3 Satz 1 des Landesorganisationsgesetzes vom 10. Juli 1962 (GV. NRW. S. 421) zuletzt geändert durch Artikel III des Gesetzes vom 1. März 2005 (GV. NRW. S. 69),</w:t>
      </w:r>
    </w:p>
    <w:p>
      <w:r>
        <w:t xml:space="preserve">2. der §§ 82 Abs. 2 Satz 3, Abs. 4 und 105 des Berufsbildungsgesetzes vom 23. März 2005 (BGBl. I S. 931), geändert durch Artikel 2 a Nr. 1 und Artikel 8 Abs. 2 und 4 des Gesetzes vom 23. März 2005 (BGBl. I S. 931),</w:t>
      </w:r>
    </w:p>
    <w:p>
      <w:r>
        <w:t xml:space="preserve">3. der §§ 22 b Abs. 5, 23 Abs. 2, 24 Abs. 1 und 2, 42q Abs. 1, 124 b der Handwerksordnung in der Fassung der Bekanntmachung vom 24. September 1998 (BGBl. I S. 3074), zuletzt geändert durch Artikel 3 b des Gesetzes vom 6. September 2005 (BGBl. I S. 2725),</w:t>
      </w:r>
    </w:p>
    <w:p>
      <w:r>
        <w:t xml:space="preserve">4. des § 36 Abs. 2 Satz 1 des Gesetzes über Ordnungswidrigkeiten in der Fassung der Bekanntmachung vom 19. Februar 1987 (BGBl. I S. 602), zuletzt geändert durch Artikel 2 Abs. 8 des Gesetzes vom 12. August 2005 (BGBl. I S. 2354),</w:t>
      </w:r>
    </w:p>
    <w:p>
      <w:r>
        <w:t xml:space="preserve">wird verordnet:</w:t>
      </w:r>
    </w:p>
    <w:p>
      <w:r>
        <w:rPr>
          <w:color w:val="555555"/>
          <w:sz w:val="17"/>
        </w:rPr>
        <w:t xml:space="preserve">Zitiervorschlag: Eingangsformel NW_29206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