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NW_29192 (Nordrhein-Westfalen)</w:t>
      </w:r>
    </w:p>
    <w:p>
      <w:r>
        <w:rPr>
          <w:color w:val="555555"/>
          <w:sz w:val="18"/>
        </w:rPr>
        <w:t xml:space="preserve">Verordnung über die Zuständigkeiten nach der Handwerksordnung und der EU/EWR-Handwerk-Verordnung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24. April 2006</w:t>
      </w:r>
    </w:p>
    <w:p>
      <w:r>
        <w:t xml:space="preserve">Auf Grund der §§ 16 Abs. 3 Satz 1, 113 Abs. 3 Satz 3 und § 124b Satz 1 der Handwerksordnung in der Fassung vom 24. September 1998 (BGBl. I S. 3074), zuletzt geändert durch Artikel 3b des Gesetzes vom 6. September 2005 (BGBl. I S. 2725), des § 5 Abs. 3 Satz 1 des Landesorganisationsgesetzes vom 10. Juli 1962 (GV. NRW. S. 421), zuletzt geändert durch Artikel III des Gesetzes vom 1. März 2005 (GV. NRW. S. 69), insoweit nach Anhörung des Wirtschaftsausschusses, des § 5 Abs. 4 des Landesorganisationsgesetzes und des § 36 Abs. 2 Satz 1 des Gesetzes über Ordnungswidrigkeiten (OWiG) in der Fassung vom 19. Februar 1987 (BGBl. I S. 602), zuletzt geändert durch Artikel 7 des Gesetzes vom 22. März 2005 (BGBl. I S. 837), wird verordnet:</w:t>
      </w:r>
    </w:p>
    <w:p>
      <w:r>
        <w:rPr>
          <w:color w:val="555555"/>
          <w:sz w:val="17"/>
        </w:rPr>
        <w:t xml:space="preserve">Zitiervorschlag: Volltext NW_29192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https://recht.nulegal.eu/gesetze/NW_29192/volltext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