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NW_29192 (Nordrhein-Westfalen)</w:t>
      </w:r>
    </w:p>
    <w:p>
      <w:r>
        <w:rPr>
          <w:color w:val="555555"/>
          <w:sz w:val="18"/>
        </w:rPr>
        <w:t xml:space="preserve">Verordnung über die Zuständigkeiten nach der Handwerksordnung und der EU/EWR-Handwerk-Verordnung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2006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rPr>
          <w:color w:val="555555"/>
          <w:sz w:val="17"/>
        </w:rPr>
        <w:t xml:space="preserve">Zitiervorschlag: § 3 NW_29192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https://recht.nulegal.eu/gesetze/NW_29192/3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