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NW_29192 (Nordrhein-Westfalen)</w:t>
      </w:r>
    </w:p>
    <w:p>
      <w:r>
        <w:rPr>
          <w:color w:val="555555"/>
          <w:sz w:val="18"/>
        </w:rPr>
        <w:t xml:space="preserve">Verordnung über die Zuständigkeiten nach der Handwerksordnung und der EU/EWR-Handwerk-Verordnung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Behörden im Sinne der §§ 16 Abs. 3 und 9 der Handwerksordnung sind die Ordnungsbehörden der Großen kreisangehörigen Städte, im Übrigen die Kreisordnungsbehörden.</w:t>
      </w:r>
    </w:p>
    <w:p>
      <w:r>
        <w:t xml:space="preserve">(2) Die Zuständigkeit für die Verfolgung und Ahndung von Ordnungswidrigkeiten nach §§ 117 und 118 der Handwerksordnung wird den Ordnungsbehörden der Großen kreisangehörigen Städte, im Übrigen den Kreisordnungsbehörden übertragen.</w:t>
      </w:r>
    </w:p>
    <w:p>
      <w:r>
        <w:t xml:space="preserve">(3) Abweichend von § 113 Abs. 3 Satz 1 der Handwerksordnung können die Beiträge der selbständigen Handwerker und der Inhaber handwerksähnlicher Betriebe von den Handwerkskammern Aachen, Arnsberg, Ostwestfalen-Lippe zu Bielefeld, Dortmund, Düsseldorf, zu Köln und Münster in eigener Zuständigkeit eingezogen werden.</w:t>
      </w:r>
    </w:p>
    <w:p>
      <w:r>
        <w:rPr>
          <w:color w:val="555555"/>
          <w:sz w:val="17"/>
        </w:rPr>
        <w:t xml:space="preserve">Zitiervorschlag: § 2 NW_29192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https://recht.nulegal.eu/gesetze/NW_29192/2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