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NW_29192 (Nordrhein-Westfalen)</w:t>
      </w:r>
    </w:p>
    <w:p>
      <w:r>
        <w:rPr>
          <w:color w:val="555555"/>
          <w:sz w:val="18"/>
        </w:rPr>
        <w:t xml:space="preserve">Verordnung über die Zuständigkeiten nach der Handwerksordnung und der EU/EWR-Handwerk-Verordnung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Höhere Verwaltungsbehörde im Sinne der Handwerksordnung ist die Bezirksregierung.</w:t>
      </w:r>
    </w:p>
    <w:p>
      <w:r>
        <w:t xml:space="preserve">(2) Die Zuständigkeiten nach den §§ 7a, 7b, 8 und 9 der Handwerksordnung werden von den höheren Verwaltungsbehörden auf die Handwerkskammern übertragen.</w:t>
      </w:r>
    </w:p>
    <w:p>
      <w:r>
        <w:rPr>
          <w:color w:val="555555"/>
          <w:sz w:val="17"/>
        </w:rPr>
        <w:t xml:space="preserve">Zitiervorschlag: § 1 NW_29192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https://recht.nulegal.eu/gesetze/NW_29192/1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