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bedarf der Ratifikation. Die Ratifikationsurkunden werden ausgetauscht.</w:t>
      </w:r>
    </w:p>
    <w:p>
      <w:r>
        <w:t xml:space="preserve">(2) Dieser Staatsvertrag tritt mit dem Tag in Kraft, an dem die Vereinigung wirksam wird (§ 144 Abs. 3 SGB V), jedoch nicht vor dem Austausch der Ratifikationsurkunden.</w:t>
      </w:r>
    </w:p>
    <w:p>
      <w:r>
        <w:t xml:space="preserve">(3) Abweichend von Absatz 2 tritt Artikel 4 mit dem Tag in Kraft, an dem die Vereinigung der AOK Rheinland/Hamburg mit der AOK Westfalen-Lippe wirksam wird (§ 144 Abs. 3 SGB V).</w:t>
      </w:r>
    </w:p>
    <w:p>
      <w:r>
        <w:t xml:space="preserve">Düsseldorf, den 27. April 2006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Karl-Josef L a u m a n</w:t>
      </w:r>
    </w:p>
    <w:p>
      <w:r>
        <w:t xml:space="preserve">Hamburg, den 4. Mai 2006</w:t>
      </w:r>
    </w:p>
    <w:p>
      <w:r>
        <w:t xml:space="preserve">Für den Senat der</w:t>
      </w:r>
    </w:p>
    <w:p>
      <w:r>
        <w:t xml:space="preserve">Freien und Hansestadt Hamburg</w:t>
      </w:r>
    </w:p>
    <w:p>
      <w:r>
        <w:t xml:space="preserve">Der Präses der Behörde für</w:t>
      </w:r>
    </w:p>
    <w:p>
      <w:r>
        <w:t xml:space="preserve">Soziales, Familie, Gesundheit und</w:t>
      </w:r>
    </w:p>
    <w:p>
      <w:r>
        <w:t xml:space="preserve">Verbraucherschutz</w:t>
      </w:r>
    </w:p>
    <w:p>
      <w:r>
        <w:t xml:space="preserve">Birgit S c h n i e b e r-J a s t r a m</w:t>
      </w:r>
    </w:p>
    <w:p>
      <w:r>
        <w:rPr>
          <w:color w:val="555555"/>
          <w:sz w:val="17"/>
        </w:rPr>
        <w:t xml:space="preserve">Zitiervorschlag: Art 6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