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NW_29178 (Nordrhein-Westfalen)</w:t>
      </w:r>
    </w:p>
    <w:p>
      <w:r>
        <w:rPr>
          <w:color w:val="555555"/>
          <w:sz w:val="18"/>
        </w:rPr>
        <w:t xml:space="preserve">Bekanntmachung des Staatsvertrages zwischen den Ländern Nordrhein-Westfalen und der Freien und Hansestadt Hamburg über die Bestimmung der Region der AOK Rheinland/Hamburg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kann von jedem Land durch schriftliche Erklärung gegenüber dem anderen beteiligten Land mit einer Frist von einem Jahr zum Ablauf eines Kalenderjahres gekündigt werden.</w:t>
      </w:r>
    </w:p>
    <w:p>
      <w:r>
        <w:t xml:space="preserve">(2) Im Falle einer Kündigung bestehen die Regelungen dieses Staatsvertrages bis zum Abschluss eines neuen Staatsvertrages fort.</w:t>
      </w:r>
    </w:p>
    <w:p>
      <w:r>
        <w:rPr>
          <w:color w:val="555555"/>
          <w:sz w:val="17"/>
        </w:rPr>
        <w:t xml:space="preserve">Zitiervorschlag: Art 5 NW_29178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