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NW_29178 (Nordrhein-Westfalen)</w:t>
      </w:r>
    </w:p>
    <w:p>
      <w:r>
        <w:rPr>
          <w:color w:val="555555"/>
          <w:sz w:val="18"/>
        </w:rPr>
        <w:t xml:space="preserve">Bekanntmachung des Staatsvertrages zwischen den Ländern Nordrhein-Westfalen und der Freien und Hansestadt Hamburg über die Bestimmung der Region der AOK Rheinland/Hamburg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Region der AOK Rheinland/Hamburg nach § 143 Abs. 3 SGB V erstreckt sich auf den Landesteil Rheinland des Landes Nordrhein-Westfalen (Regierungsbezirke Düsseldorf und Köln) und die Freie und Hansestadt Hamburg.</w:t>
      </w:r>
    </w:p>
    <w:p>
      <w:r>
        <w:rPr>
          <w:color w:val="555555"/>
          <w:sz w:val="17"/>
        </w:rPr>
        <w:t xml:space="preserve">Zitiervorschlag: Art 1 NW_29178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https://recht.nulegal.eu/gesetze/NW_29178/1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