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NW_29175 (Nordrhein-Westfalen)</w:t>
      </w:r>
    </w:p>
    <w:p>
      <w:r>
        <w:rPr>
          <w:color w:val="555555"/>
          <w:sz w:val="18"/>
        </w:rPr>
        <w:t xml:space="preserve">Verordnung zur Übertragung von Befugnissen nach der Landeshaushaltsordnung im Geschäftsbereich des Ministeriums für Arbeit, Integration und Soziales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Juni 2006</w:t>
      </w:r>
    </w:p>
    <w:p>
      <w:r>
        <w:t xml:space="preserve">Aufgrund der §§ 57 Satz 2, § 58 Abs. 1 Satz 2 und § 59 Abs. 1 Satz 2 der Landeshaushaltsordnung (LHO) vom 26. April 1999 (GV. NRW. S. 158), zuletzt geändert durch Artikel 7 des Gesetzes vom 2. Juli 2002 (GV. NRW. S. 284), wird für meinen Geschäftsbereich – soweit erforderlich mit Zustimmung des Finanzministeriums – verordnet:</w:t>
      </w:r>
    </w:p>
    <w:p>
      <w:r>
        <w:rPr>
          <w:color w:val="555555"/>
          <w:sz w:val="17"/>
        </w:rPr>
        <w:t xml:space="preserve">Zitiervorschlag: Volltext NW_29175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https://recht.nulegal.eu/gesetze/NW_29175/volltext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