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NW_29175 (Nordrhein-Westfalen)</w:t>
      </w:r>
    </w:p>
    <w:p>
      <w:r>
        <w:rPr>
          <w:color w:val="555555"/>
          <w:sz w:val="18"/>
        </w:rPr>
        <w:t xml:space="preserve">Verordnung zur Übertragung von Befugnissen nach der Landeshaushaltsordnung im Geschäftsbereich des Ministeriums für Arbeit, Integration und Soziales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Der Minister</w:t>
      </w:r>
    </w:p>
    <w:p>
      <w:r>
        <w:t xml:space="preserve">für Arbeit, Gesundheit und Soziales</w:t>
      </w:r>
    </w:p>
    <w:p>
      <w:r>
        <w:t xml:space="preserve">des Landes Nordrhein- Westfalen</w:t>
      </w:r>
    </w:p>
    <w:p>
      <w:r>
        <w:rPr>
          <w:color w:val="555555"/>
          <w:sz w:val="17"/>
        </w:rPr>
        <w:t xml:space="preserve">Zitiervorschlag: § 5 NW_29175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https://recht.nulegal.eu/gesetze/NW_29175/5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