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NW_29175 (Nordrhein-Westfalen)</w:t>
      </w:r>
    </w:p>
    <w:p>
      <w:r>
        <w:rPr>
          <w:color w:val="555555"/>
          <w:sz w:val="18"/>
        </w:rPr>
        <w:t xml:space="preserve">Verordnung zur Übertragung von Befugnissen nach der Landeshaushaltsordnung im Geschäftsbereich des Ministeriums für Arbeit, Integration und Soziales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Meine Befugnis, Ansprüche</w:t>
      </w:r>
    </w:p>
    <w:p>
      <w:r>
        <w:t xml:space="preserve">1. gemäß § 59 Abs. 1 Nr. 1 Landeshaushaltsordnung bei Beträgen</w:t>
      </w:r>
    </w:p>
    <w:p>
      <w:r>
        <w:t xml:space="preserve">bis zu 50.000 EUR mit einer Stundungsdauer von bis zu 18 Monaten zu stunden,</w:t>
      </w:r>
    </w:p>
    <w:p>
      <w:r>
        <w:t xml:space="preserve">2. gemäß § 59 Abs. 1 Nr. 2 Landeshaushaltsordnung im Falle einer</w:t>
      </w:r>
    </w:p>
    <w:p>
      <w:r>
        <w:t xml:space="preserve">a) befristeten Niederschlagung bei Beträgen bis zu 35.000 EUR und</w:t>
      </w:r>
    </w:p>
    <w:p>
      <w:r>
        <w:t xml:space="preserve">b) unbefristeten Niederschlagung bei Beträgen bis zu 20.000 EUR niederzuschlagen und</w:t>
      </w:r>
    </w:p>
    <w:p>
      <w:r>
        <w:t xml:space="preserve">3. gemäß § 59 Abs. 1 Nr. 3 Landeshaushaltsordnung bei Beträgen bis zu 10.000 EUR zu erlassen</w:t>
      </w:r>
    </w:p>
    <w:p>
      <w:r>
        <w:t xml:space="preserve">übertrage ich auf die Einrichtungen meines Geschäftsbereichs.</w:t>
      </w:r>
    </w:p>
    <w:p>
      <w:r>
        <w:rPr>
          <w:color w:val="555555"/>
          <w:sz w:val="17"/>
        </w:rPr>
        <w:t xml:space="preserve">Zitiervorschlag: § 2 NW_29175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