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NW_29169 (Nordrhein-Westfalen) — In-Kraft-Treten, Berichtspflicht</w:t>
      </w:r>
    </w:p>
    <w:p>
      <w:r>
        <w:rPr>
          <w:color w:val="555555"/>
          <w:sz w:val="18"/>
        </w:rPr>
        <w:t xml:space="preserve">PO-Elektro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Prüfungsordnung tritt am Tag nach ihrer Verkündung im Gesetz- und Verordnungsblatt des Landes Nordrhein-Westfalen in Kraft. Die Verordnung ist auf ihre Notwendigkeit zu überprüfen. Über das Ergebnis der Überprüfung wird die Landesregierung bis zum 31. Dezember 2010 unterrichtet.</w:t>
      </w:r>
    </w:p>
    <w:p>
      <w:r>
        <w:t xml:space="preserve">Der Präsident</w:t>
      </w:r>
    </w:p>
    <w:p>
      <w:r>
        <w:t xml:space="preserve">des Landesumweltamtes</w:t>
      </w:r>
    </w:p>
    <w:p>
      <w:r>
        <w:t xml:space="preserve">Nordrhein-Westfalen</w:t>
      </w:r>
    </w:p>
    <w:p>
      <w:r>
        <w:rPr>
          <w:color w:val="555555"/>
          <w:sz w:val="17"/>
        </w:rPr>
        <w:t xml:space="preserve">Zitiervorschlag: § 7 NW_29169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https://recht.nulegal.eu/gesetze/NW_29169/7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