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NW_29150 (Nordrhein-Westfalen)</w:t>
      </w:r>
    </w:p>
    <w:p>
      <w:r>
        <w:rPr>
          <w:color w:val="555555"/>
          <w:sz w:val="18"/>
        </w:rPr>
        <w:t xml:space="preserve">Fünfte Satzung der Landesanstalt für Medien Nordrhein-Westfalen (LfM) zur Festlegung von Verbreitungsgebieten für Lokalen Hörfunk gem. § 54 Abs. 1 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April 2006</w:t>
      </w:r>
    </w:p>
    <w:p>
      <w:r>
        <w:t xml:space="preserve">Auf Grund § 54 Abs. 1 des Landesmediengesetzes Nordrhein-Westfalen (LMG NRW) vom 2. Juli 2002 (GV. NRW. S. 334), zuletzt geändert durch Artikel 58a des Fünften Befristungsgesetzes vom 5. April 2005 (GV. NRW. S. 351), erlässt die Landesanstalt für Medien Nordrhein-Westfalen (LfM) folgende Satzung:</w:t>
      </w:r>
    </w:p>
    <w:p>
      <w:r>
        <w:rPr>
          <w:color w:val="555555"/>
          <w:sz w:val="17"/>
        </w:rPr>
        <w:t xml:space="preserve">Zitiervorschlag: Volltext NW_29150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https://recht.nulegal.eu/gesetze/NW_29150/volltext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NW_29150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