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NW_29138 (Nordrhein-Westfalen)</w:t>
      </w:r>
    </w:p>
    <w:p>
      <w:r>
        <w:rPr>
          <w:color w:val="555555"/>
          <w:sz w:val="18"/>
        </w:rPr>
        <w:t xml:space="preserve">Gesetz zum Dritten Staatsvertrag zwischen den Ländern Niedersachsen und Nordrhein-Westfalen über Änderungen der gemeinsamen Landesgrenze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Tag, an dem der Staatsvertrag nach seinem Artikel 4 Abs. 2 in Kraft tritt, ist im Gesetz- und Verordnungsblatt für das Land Nordrhein-Westfalen bekannt zu machen.</w:t>
      </w:r>
    </w:p>
    <w:p>
      <w:r>
        <w:rPr>
          <w:color w:val="555555"/>
          <w:sz w:val="17"/>
        </w:rPr>
        <w:t xml:space="preserve">Zitiervorschlag: § 4 NW_29138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https://recht.nulegal.eu/gesetze/NW_29138/4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