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NW_29131 (Nordrhein-Westfalen) — In-Kraft-Treten und Berichtspflicht</w:t>
      </w:r>
    </w:p>
    <w:p>
      <w:r>
        <w:rPr>
          <w:color w:val="555555"/>
          <w:sz w:val="18"/>
        </w:rPr>
        <w:t xml:space="preserve">Gesetz über die Errichtung und den Betrieb einer Rohrleitungsanlage zwischen Dormagen und Krefeld-Uerdingen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Die Landesregierung überprüft bis zum 31. Dezember 2010 die Auswirkungen dieses Gesetzes und unterrichtet den Landtag.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Der Finanzminister</w:t>
      </w:r>
    </w:p>
    <w:p>
      <w:r>
        <w:t xml:space="preserve">für die</w:t>
      </w:r>
    </w:p>
    <w:p>
      <w:r>
        <w:t xml:space="preserve">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6 NW_29131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https://recht.nulegal.eu/gesetze/NW_29131/6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