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NW_29131 (Nordrhein-Westfalen) — Zulässigkeit der Enteignung</w:t>
      </w:r>
    </w:p>
    <w:p>
      <w:r>
        <w:rPr>
          <w:color w:val="555555"/>
          <w:sz w:val="18"/>
        </w:rPr>
        <w:t xml:space="preserve">Gesetz über die Errichtung und den Betrieb einer Rohrleitungsanlage zwischen Dormagen und Krefeld-Uerdingen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Enteignung ist im einzelnen Fall nur zulässig, wenn das Wohl der Allgemeinheit sie erfordert und der Enteignungszweck auf andere zumutbare Weise, insbesondere aus Grundbesitz des die Anlage errichtenden und betreibenden Unternehmens, nicht erreicht werden kann. Die Enteignung setzt ferner voraus, dass das die Anlage errichtende und betreibende Unternehmen sich nachweislich ernsthaft bemüht hat, das Grundstück oder das in § 3 Abs. 1 Satz 2 bezeichnete Recht zu angemessenen Bedingungen freihändig zu erwerben und glaubhaft macht, das Grundstück oder das Recht daran werde innerhalb angemessener Frist zu dem vorgegebenen Zweck verwendet bzw. ausgeübt werden.</w:t>
      </w:r>
    </w:p>
    <w:p>
      <w:r>
        <w:t xml:space="preserve">(2) Die Enteignung ist zulässig, wenn der für das Vorhaben nach § 20 des Gesetzes über die Umweltverträglichkeitsprüfung erforderliche Planfeststellungsbeschluss unanfechtbar ist oder ein hiergegen eingelegtes Rechtsmittel keine aufschiebende Wirkung hat. Er ist dem Enteignungsverfahren zugrunde zu legen und für die Enteignungsbehörde bindend.</w:t>
      </w:r>
    </w:p>
    <w:p>
      <w:r>
        <w:t xml:space="preserve">(3) Für die Enteignung ist Entschädigung zu leisten.</w:t>
      </w:r>
    </w:p>
    <w:p>
      <w:r>
        <w:t xml:space="preserve">(4) Im Übrigen gelten die Vorschriften des Landesenteignungs- und -entschädigungsgesetzes (EEG NW).</w:t>
      </w:r>
    </w:p>
    <w:p>
      <w:r>
        <w:rPr>
          <w:color w:val="555555"/>
          <w:sz w:val="17"/>
        </w:rPr>
        <w:t xml:space="preserve">Zitiervorschlag: § 4 NW_29131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https://recht.nulegal.eu/gesetze/NW_29131/4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