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NW_29131 (Nordrhein-Westfalen) — Enteignungszweck</w:t>
      </w:r>
    </w:p>
    <w:p>
      <w:r>
        <w:rPr>
          <w:color w:val="555555"/>
          <w:sz w:val="18"/>
        </w:rPr>
        <w:t xml:space="preserve">Gesetz über die Errichtung und den Betrieb einer Rohrleitungsanlage zwischen Dormagen und Krefeld-Uerdingen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Verwirklichung der Rohrleitungsanlage dient insbesondere dazu,</w:t>
      </w:r>
    </w:p>
    <w:p>
      <w:r>
        <w:t xml:space="preserve">1. die Sicherheit und Zuverlässigkeit der Kohlenmonoxidversorgung zu erhöhen, um dadurch die wirtschaftliche Struktur der Chemieindustrie und der mittelständischen Kunststoff verarbeitenden Unternehmen in Nordrhein-Westfalen zu stärken und damit Arbeitsplätze zu sichern,</w:t>
      </w:r>
    </w:p>
    <w:p>
      <w:r>
        <w:t xml:space="preserve">2. den Verbund von Standorten und Unternehmen zu stärken und auszubauen,</w:t>
      </w:r>
    </w:p>
    <w:p>
      <w:r>
        <w:t xml:space="preserve">3. einen diskriminierungsfreien Zugang bei hoher Verfügbarkeit zu gewährleisten,</w:t>
      </w:r>
    </w:p>
    <w:p>
      <w:r>
        <w:t xml:space="preserve">4. die Umweltbilanz der Kohlenmonoxidproduktion insgesamt zu verbessern.</w:t>
      </w:r>
    </w:p>
    <w:p>
      <w:r>
        <w:rPr>
          <w:color w:val="555555"/>
          <w:sz w:val="17"/>
        </w:rPr>
        <w:t xml:space="preserve">Zitiervorschlag: § 2 NW_29131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https://recht.nulegal.eu/gesetze/NW_29131/2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