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NW_29121 (Nordrhein-Westfalen) — Aufgaben des Betriebsausschusses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Betriebsausschuss berät die den LWL-BLB betreffenden Angelegenheiten vor, die von der Landschaftsversammlung, vom Landschaftsausschuss oder einem Fachausschuss zu entscheiden sind.</w:t>
      </w:r>
    </w:p>
    <w:p>
      <w:r>
        <w:t xml:space="preserve">(2) Der Betriebsausschuss entscheidet in allen Angelegenheiten, soweit es sich nicht um die laufende Betriebsführung handelt oder soweit dafür nicht die Landschaftsversammlung, der Landschaftsausschuss, ein Fachausschuss oder der Direktor/die Direktorin des Landschaftsverbandes zuständig ist. Er entscheidet in den ihm durch die Zuständigkeitsordnung für die Ausschüsse der Landschaftsversammlung Westfalen-Lippe übertragenen Angelegenheiten sowie über</w:t>
      </w:r>
    </w:p>
    <w:p>
      <w:r>
        <w:t xml:space="preserve">- Benennung der Prüfer für den Jahresabschluss.</w:t>
      </w:r>
    </w:p>
    <w:p>
      <w:r>
        <w:t xml:space="preserve">- Zustimmung zu nicht unabweisbaren und nicht eilbedürftigen erfolgsgefährdenden Mehraufwendungen im Erfolgsplan.</w:t>
      </w:r>
    </w:p>
    <w:p>
      <w:r>
        <w:t xml:space="preserve">- Zustimmung zu Mehrauszahlungen für Einzelvorhaben im Investitionsplan, wenn sie mehr als 15 Prozent und gleichzeitig mindestens 500 000 Euro betragen.</w:t>
      </w:r>
    </w:p>
    <w:p>
      <w:r>
        <w:t xml:space="preserve">- die Einstellungen der Entgeltgruppen 13 bis 15 TVöD. Dies gilt auch für Kündigungen durch den LWL-Bau- und Liegenschaftsbetrieb. Über Stellenbesetzungen in diesen Entgeltgruppen, die aufgrund einer internen Ausschreibung erfolgen, wird der Betriebsausschuss informiert.</w:t>
      </w:r>
    </w:p>
    <w:p>
      <w:r>
        <w:t xml:space="preserve">- die Entlastung der Betriebsleitung.</w:t>
      </w:r>
    </w:p>
    <w:p>
      <w:r>
        <w:t xml:space="preserve">(3) Für die Haftung der Mitglieder des Betriebsausschusses gilt § 9 Abs. 1 Satz 4 sinngemäß.</w:t>
      </w:r>
    </w:p>
    <w:p>
      <w:r>
        <w:rPr>
          <w:color w:val="555555"/>
          <w:sz w:val="17"/>
        </w:rPr>
        <w:t xml:space="preserve">Zitiervorschlag: § 6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