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NW_29121 (Nordrhein-Westfalen) — Zusammensetzung des Betriebsausschusses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Bauausschuss ist Betriebsausschuss. Seine Mitglieder üben ihre Tätigkeit nach Ablauf der Wahlzeit bis zum ersten Zusammentreten des neu gebildeten Bauausschusses aus.</w:t>
      </w:r>
    </w:p>
    <w:p>
      <w:r>
        <w:t xml:space="preserve">(2) Die Betriebsleiter nehmen an den Sitzungen des Betriebsausschusses teil. Sie sind berechtigt und auf Verlangen verpflichtet, ihre Ansicht zu einem Punkt der Tagesordnung darzulegen.</w:t>
      </w:r>
    </w:p>
    <w:p>
      <w:r>
        <w:t xml:space="preserve">(3) Der Direktor/die Direktorin des Landschaftsverbandes sowie der Erste Landesrat und Kämmerer/die Erste Landesrätin und Kämmerin können an den Sitzungen des Betriebsausschusses teilnehmen. Ihnen oder den von ihnen entsandten Vertretern/Vertreterinnen ist zur Sache jederzeit auf Verlangen das Wort zu erteilen.</w:t>
      </w:r>
    </w:p>
    <w:p>
      <w:r>
        <w:rPr>
          <w:color w:val="555555"/>
          <w:sz w:val="17"/>
        </w:rPr>
        <w:t xml:space="preserve">Zitiervorschlag: § 5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