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NW_29121 (Nordrhein-Westfalen) — Zuständigkeiten des Landschaftsausschusses</w:t>
      </w:r>
    </w:p>
    <w:p>
      <w:r>
        <w:rPr>
          <w:color w:val="555555"/>
          <w:sz w:val="18"/>
        </w:rPr>
        <w:t xml:space="preserve">Betriebssatzung für den LWL-Bau- und Liegenschaftsbetrieb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Landschaftsausschuss beschließt über alle Angelegenheiten des LWL-Bau- und Liegenschaftsbetriebes, soweit sie nicht</w:t>
      </w:r>
    </w:p>
    <w:p>
      <w:r>
        <w:t xml:space="preserve">a) der Landschaftsversammlung vorbehalten sind,</w:t>
      </w:r>
    </w:p>
    <w:p>
      <w:r>
        <w:t xml:space="preserve">b) dem Umwelt- und Bauausschuss oder einem anderen Fachausschuss zur Entscheidung zugewiesen sind,</w:t>
      </w:r>
    </w:p>
    <w:p>
      <w:r>
        <w:t xml:space="preserve">c) dem Direktor/der Direktorin des Landschaftsverbandes übertragen sind,</w:t>
      </w:r>
    </w:p>
    <w:p>
      <w:r>
        <w:t xml:space="preserve">d) Geschäfte der laufenden Betriebsführung sind.</w:t>
      </w:r>
    </w:p>
    <w:p>
      <w:r>
        <w:t xml:space="preserve">(2) Der Landschaftsausschuss beschließt ferner über</w:t>
      </w:r>
    </w:p>
    <w:p>
      <w:r>
        <w:t xml:space="preserve">a) grundsätzliche Zielsetzungen des LWL-Bau- und Liegenschaftsbetriebes,</w:t>
      </w:r>
    </w:p>
    <w:p>
      <w:r>
        <w:t xml:space="preserve">b) die Bestellung und die Abberufung der Betriebsleitung; in dringenden Fällen kann der Direktor/die Direktorin des Landschaftsverbandes Beschäftigte vorübergehend mit der Wahrnehmung der Aufgaben der Betriebsleitung beauftragen.</w:t>
      </w:r>
    </w:p>
    <w:p>
      <w:r>
        <w:t xml:space="preserve">(3) Der Landschaftsausschuss bereitet die Beschlüsse der Landschaftsversammlung vor. Er berät insbesondere die Entwürfe der Wirtschafts- und Finanzpläne sowie die Jahresabschlüsse nach Vorberatung im Betriebsausschuss und im Finanzausschuss vor der Beschlussfassung in der Landschaftsversammlung.</w:t>
      </w:r>
    </w:p>
    <w:p>
      <w:r>
        <w:rPr>
          <w:color w:val="555555"/>
          <w:sz w:val="17"/>
        </w:rPr>
        <w:t xml:space="preserve">Zitiervorschlag: § 4 NW_29121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https://recht.nulegal.eu/gesetze/NW_29121/4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