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NW_29121 (Nordrhein-Westfalen) — Zuständigkeiten der Landschaftsversammlung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beschließt über die Angelegenheiten des LWL-BLB, die sie nach der Landschaftsverbandsordnung nicht übertragen kann.</w:t>
      </w:r>
    </w:p>
    <w:p>
      <w:r>
        <w:t xml:space="preserve">(2) Die Landschaftsversammlung beschließt außerdem über</w:t>
      </w:r>
    </w:p>
    <w:p>
      <w:r>
        <w:t xml:space="preserve">a) die Feststellung und Änderung der Wirtschaftspläne,</w:t>
      </w:r>
    </w:p>
    <w:p>
      <w:r>
        <w:t xml:space="preserve">b) die Feststellung der Jahresabschlüsse und die Verwendung der Gewinne oder die Behandlung von Verlusten und die Entlastung des Betriebsausschusses,</w:t>
      </w:r>
    </w:p>
    <w:p>
      <w:r>
        <w:t xml:space="preserve">c) die Rückzahlung von Eigenkapital an den Landschaftsverband.</w:t>
      </w:r>
    </w:p>
    <w:p>
      <w:r>
        <w:t xml:space="preserve">(3) Der Landschaftsversammlung werden die Finanzpläne vorgelegt.</w:t>
      </w:r>
    </w:p>
    <w:p>
      <w:r>
        <w:rPr>
          <w:color w:val="555555"/>
          <w:sz w:val="17"/>
        </w:rPr>
        <w:t xml:space="preserve">Zitiervorschlag: § 3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