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NW_29121 (Nordrhein-Westfalen) — In-Kraft-Treten</w:t>
      </w:r>
    </w:p>
    <w:p>
      <w:r>
        <w:rPr>
          <w:color w:val="555555"/>
          <w:sz w:val="18"/>
        </w:rPr>
        <w:t xml:space="preserve">Betriebssatzung für den LWL-Bau- und Liegenschaftsbetrieb des Landschaftsverbandes Westfalen-Lippe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Satzung tritt am 1. April 2006 in Kraft. Gleichzeitig wird die von der Landschaftsversammlung am 17. Juli 2003 beschlossene Betriebssatzung für den Bau- und Liegenschaftsbetrieb des Landschaftsverbandes Westfalen-Lippe (GV. NRW. S. 458) aufgehoben.</w:t>
      </w:r>
    </w:p>
    <w:p>
      <w:r>
        <w:t xml:space="preserve">Münster, den 9. März 2006</w:t>
      </w:r>
    </w:p>
    <w:p>
      <w:r>
        <w:t xml:space="preserve">Seifert</w:t>
      </w:r>
    </w:p>
    <w:p>
      <w:r>
        <w:t xml:space="preserve">Vorsitzende</w:t>
      </w:r>
    </w:p>
    <w:p>
      <w:r>
        <w:t xml:space="preserve">der 12. Landschaftsversammlung</w:t>
      </w:r>
    </w:p>
    <w:p>
      <w:r>
        <w:t xml:space="preserve">Schäfer</w:t>
      </w:r>
    </w:p>
    <w:p>
      <w:r>
        <w:t xml:space="preserve">Schriftführer</w:t>
      </w:r>
    </w:p>
    <w:p>
      <w:r>
        <w:t xml:space="preserve">der 12. Landschaftsversammlung</w:t>
      </w:r>
    </w:p>
    <w:p>
      <w:r>
        <w:t xml:space="preserve">Die vorstehende Neufassung der Betriebssatzung für den Bau- und Liegenschaftsbetrieb des Landschaftsverbandes Westfalen-Lippe wird gemäß § 6 Abs. 2 der Landschaftsverbandsordnung in der z. Zt. geltenden Fassung bekannt gemacht.</w:t>
      </w:r>
    </w:p>
    <w:p>
      <w:r>
        <w:t xml:space="preserve">Nach § 6 Abs. 3 Landschaftsverbandsordnung kann die Verletzung von Verfahrens- oder Formvorschriften der Landschaftsverbandsordnung gegen Satzungen nach Ablauf eines Jahres seit ihrer Verkündung nicht mehr geltend gemacht werden kann, es sei denn</w:t>
      </w:r>
    </w:p>
    <w:p>
      <w:r>
        <w:t xml:space="preserve">a) eine vorgeschriebene Genehmigung fehlt oder ein vorgeschriebenes Anzeigeverfahren wurde nicht durchgeführt,</w:t>
      </w:r>
    </w:p>
    <w:p>
      <w:r>
        <w:t xml:space="preserve">b) die Satzung ist nicht ordnungsgemäß öffentlich bekannt gemacht worden,</w:t>
      </w:r>
    </w:p>
    <w:p>
      <w:r>
        <w:t xml:space="preserve">c) der Direktor des Landschaftsverbandes hat den Beschluss der Landschaftsversammlung vorher beanstandet oder</w:t>
      </w:r>
    </w:p>
    <w:p>
      <w:r>
        <w:t xml:space="preserve">d) der Form- oder Verfahrensmangel ist gegenüber dem Landschaftsverband vorher gerügt und dabei die verletzte Rechtsvorschrift und die Tatsache bezeichnet worden, die den Mangel ergibt.</w:t>
      </w:r>
    </w:p>
    <w:p>
      <w:r>
        <w:t xml:space="preserve">Münster, den 9. März 2006</w:t>
      </w:r>
    </w:p>
    <w:p>
      <w:r>
        <w:t xml:space="preserve">Schäfer</w:t>
      </w:r>
    </w:p>
    <w:p>
      <w:r>
        <w:t xml:space="preserve">Direktor</w:t>
      </w:r>
    </w:p>
    <w:p>
      <w:r>
        <w:t xml:space="preserve">des Landschaftsverbandes Westfalen-Lippe</w:t>
      </w:r>
    </w:p>
    <w:p>
      <w:r>
        <w:t xml:space="preserve">Zusatz:</w:t>
      </w:r>
    </w:p>
    <w:p>
      <w:r>
        <w:t xml:space="preserve">Bekanntmachungsanordnung</w:t>
      </w:r>
    </w:p>
    <w:p>
      <w:r>
        <w:t xml:space="preserve">Die vorstehende Satzung zur Änderung der Betriebssatzung für den Bau- und Liegenschaftsbetrieb des Landschaftsverbandes Westfalen-Lippe wird gemäß § 6 Abs. 2 der Landschaftsverbandsordnung in der z. Zt. geltenden Fassung bekannt gemacht.</w:t>
      </w:r>
    </w:p>
    <w:p>
      <w:r>
        <w:t xml:space="preserve">Nach § 6 Abs. 3 Landschaftsverbandsordnung kann die Verletzung von Verfahrens- oder Formvorschriften der Landschaftsverbandsordnung gegen Satzungen nach Ablauf eines Jahres seit ihrer Verkündung nicht mehr geltend gemacht werden kann, es sei denn</w:t>
      </w:r>
    </w:p>
    <w:p>
      <w:r>
        <w:t xml:space="preserve">a) eine vorgeschriebene Genehmigung fehlt oder ein vorgeschriebenes Anzeigeverfahren wurde nicht durchgeführt,</w:t>
      </w:r>
    </w:p>
    <w:p>
      <w:r>
        <w:t xml:space="preserve">b) die Satzung ist nicht ordnungsgemäß öffentlich bekannt gemacht worden,</w:t>
      </w:r>
    </w:p>
    <w:p>
      <w:r>
        <w:t xml:space="preserve">c) der Direktor des Landschaftsverbandes hat den Beschluss der Landschaftsversammlung vorher beanstandet oder</w:t>
      </w:r>
    </w:p>
    <w:p>
      <w:r>
        <w:t xml:space="preserve">d) der Form- oder Verfahrensmangel ist gegenüber dem Landschaftsverband vorher gerügt und dabei die verletzte Rechtsvorschrift und die Tatsache bezeichnet worden, die den Mangel ergibt.</w:t>
      </w:r>
    </w:p>
    <w:p>
      <w:r>
        <w:t xml:space="preserve">Münster, den 22. Februar 2007</w:t>
      </w:r>
    </w:p>
    <w:p>
      <w:r>
        <w:rPr>
          <w:color w:val="555555"/>
          <w:sz w:val="17"/>
        </w:rPr>
        <w:t xml:space="preserve">Zitiervorschlag: § 19 NW_29121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https://recht.nulegal.eu/gesetze/NW_29121/19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