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NW_29121 (Nordrhein-Westfalen) — Stammkapital</w:t>
      </w:r>
    </w:p>
    <w:p>
      <w:r>
        <w:rPr>
          <w:color w:val="555555"/>
          <w:sz w:val="18"/>
        </w:rPr>
        <w:t xml:space="preserve">Betriebssatzung für den LWL-Bau- und Liegenschaftsbetrieb des Landschaftsverbandes Westfalen-Lippe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Stammkapital des LWL-Bau- und Liegenschaftsbetriebes beträgt 22.500.000 Euro.</w:t>
      </w:r>
    </w:p>
    <w:p>
      <w:r>
        <w:rPr>
          <w:color w:val="555555"/>
          <w:sz w:val="17"/>
        </w:rPr>
        <w:t xml:space="preserve">Zitiervorschlag: § 17 NW_29121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https://recht.nulegal.eu/gesetze/NW_29121/17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