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NW_29121 (Nordrhein-Westfalen) — Wirtschaftsführung und Rechnungswesen</w:t>
      </w:r>
    </w:p>
    <w:p>
      <w:r>
        <w:rPr>
          <w:color w:val="555555"/>
          <w:sz w:val="18"/>
        </w:rPr>
        <w:t xml:space="preserve">Betriebssatzung für den LWL-Bau- und Liegenschaftsbetrieb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Betrieb ist finanzwirtschaftlich als Sondervermögen zu verwalten und nachzuweisen. Auf die Erhaltung des Sondervermögens ist Bedacht zu nehmen.</w:t>
      </w:r>
    </w:p>
    <w:p>
      <w:r>
        <w:t xml:space="preserve">(2) Wirtschaftsjahr ist das Kalenderjahr.</w:t>
      </w:r>
    </w:p>
    <w:p>
      <w:r>
        <w:t xml:space="preserve">(3) Für die Wirtschaftsführung und das Rechnungswesen gelten die Vorschriften der §§ 9 – 26 der Eigenbetriebsverordnung entsprechend.</w:t>
      </w:r>
    </w:p>
    <w:p>
      <w:r>
        <w:rPr>
          <w:color w:val="555555"/>
          <w:sz w:val="17"/>
        </w:rPr>
        <w:t xml:space="preserve">Zitiervorschlag: § 12 NW_29121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https://recht.nulegal.eu/gesetze/NW_29121/12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