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NW_29121 (Nordrhein-Westfalen) — Rechtsform und Name des Betriebes</w:t>
      </w:r>
    </w:p>
    <w:p>
      <w:r>
        <w:rPr>
          <w:color w:val="555555"/>
          <w:sz w:val="18"/>
        </w:rPr>
        <w:t xml:space="preserve">Betriebssatzung für den LWL-Bau- und Liegenschaftsbetrieb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LWL-Bau- und Liegenschaftsbetrieb wird als Einrichtung ohne Rechtspersönlichkeit gem. § 23 Abs. 2 Landschaftsverbandsordnung in Verbindung mit § 107 Abs. 2 Gemeindeordnung nach den Vorschriften der Landschaftsverbandsordnung, der Gemeindeordnung, der Eigenbetriebsverordnung und den Bestimmungen dieser Betriebssatzung wie ein Eigenbetrieb (eigenbetriebsähnliche Einrichtung, in dieser Satzung auch als „Betrieb“ bezeichnet) geführt.</w:t>
      </w:r>
    </w:p>
    <w:p>
      <w:r>
        <w:t xml:space="preserve">(2) Der Betrieb führt den Namen „LWL-Bau- und Liegenschaftsbetrieb”.</w:t>
      </w:r>
    </w:p>
    <w:p>
      <w:r>
        <w:rPr>
          <w:color w:val="555555"/>
          <w:sz w:val="17"/>
        </w:rPr>
        <w:t xml:space="preserve">Zitiervorschlag: § 1 NW_29121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https://recht.nulegal.eu/gesetze/NW_29121/1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