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NW_29077 (Nordrhein-Westfalen)</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12. Dezember 2005</w:t>
      </w:r>
    </w:p>
    <w:p>
      <w:r>
        <w:t xml:space="preserve">Aufgrund des § 4 des Gesetzes über die Berufsbezeichnung „Lebensmittelchemiker“ vom 7. März 1978 (GV. NRW. S. 88), zuletzt geändert durch Artikel 79 des Zweiten Befristungsgesetzes vom 5. April 2005 (GV. NRW. S. 274), wird im Einvernehmen mit dem Ministerium für Innovation, Wissenschaft, Forschung und Technologie verordnet:</w:t>
      </w:r>
    </w:p>
    <w:p>
      <w:r>
        <w:rPr>
          <w:color w:val="555555"/>
          <w:sz w:val="17"/>
        </w:rPr>
        <w:t xml:space="preserve">Zitiervorschlag: Eingangsformel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