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NW_29023 (Nordrhein-Westfalen) — Zuständigkeit des Betriebsausschusses</w:t>
      </w:r>
    </w:p>
    <w:p>
      <w:r>
        <w:rPr>
          <w:color w:val="555555"/>
          <w:sz w:val="18"/>
        </w:rPr>
        <w:t xml:space="preserve">Betriebssatzung für die LVR-InfoKom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Betriebsausschuss ist Fachausschuss im Sinne der LVerbO. Seine Zusammensetzung regelt die Hauptsatzung.</w:t>
      </w:r>
    </w:p>
    <w:p>
      <w:r>
        <w:t xml:space="preserve">Seine Rechte und Pflichten regelt die Eigenbetriebsverordnung, soweit in dieser Satzung nichts anderes bestimmt ist.</w:t>
      </w:r>
    </w:p>
    <w:p>
      <w:r>
        <w:t xml:space="preserve">Er berät über alle Angelegenheiten des Betriebes, die der Entscheidung der Landschaftsversammlung, des Landschaftsausschusses oder eines anderen Fachausschusses vorbehalten sind, insbesondere über:</w:t>
      </w:r>
    </w:p>
    <w:p>
      <w:r>
        <w:t xml:space="preserve">1. Entwürfe des Wirtschafts- und Finanzplanes, des Jahresabschlusses sowie des Jahresberichtes und des Investitionsprogramms,</w:t>
      </w:r>
    </w:p>
    <w:p>
      <w:r>
        <w:t xml:space="preserve">2. Änderung des Sondervermögens,</w:t>
      </w:r>
    </w:p>
    <w:p>
      <w:r>
        <w:t xml:space="preserve">3. An- und Verkauf von Grundstücken sowie Bestellung dinglicher Rechte an Grundstücken,</w:t>
      </w:r>
    </w:p>
    <w:p>
      <w:r>
        <w:t xml:space="preserve">4. Durchführung einer Weisung des Direktors des Landschaftsverbandes Rheinland nach § 8 Abs. 2 Satz 1.</w:t>
      </w:r>
    </w:p>
    <w:p>
      <w:r>
        <w:t xml:space="preserve">(2) Er entscheidet über:</w:t>
      </w:r>
    </w:p>
    <w:p>
      <w:r>
        <w:t xml:space="preserve">1. die Festlegung der allgem. Vertragsbedingungen (AVB) ,</w:t>
      </w:r>
    </w:p>
    <w:p>
      <w:r>
        <w:t xml:space="preserve">2. erfolgsgefährdende Mehraufwendungen, sofern sie nicht unabweisbar und nicht eilbedürftig sind,</w:t>
      </w:r>
    </w:p>
    <w:p>
      <w:r>
        <w:t xml:space="preserve">3. nicht eilbedürftige Mehrausgaben von mehr als 50.000 € oder 30% des Umsatzes für Einzelvorhaben des Vermögensplanes, mind. jedoch 25.000 €,</w:t>
      </w:r>
    </w:p>
    <w:p>
      <w:r>
        <w:t xml:space="preserve">4. Miet- und Pachtverträge über Grundstücke und Räume des Sondervermögens mit einer Monatsmiete/-pacht von mehr als 15.000 € (brutto),</w:t>
      </w:r>
    </w:p>
    <w:p>
      <w:r>
        <w:t xml:space="preserve">5. Stundung von Forderungen, von mehr als 25.000 € sowie Erlass/Niederschlagung von Forderungen von mehr als 10.000 €,</w:t>
      </w:r>
    </w:p>
    <w:p>
      <w:r>
        <w:t xml:space="preserve">6. Benennung des Prüfers für den Jahresabschluss, der möglichst nach fünf Jahren zu wechseln ist,</w:t>
      </w:r>
    </w:p>
    <w:p>
      <w:r>
        <w:t xml:space="preserve">7. Liefer- und Dienstleistungsaufträge und Aufträge für freiberufliche Leistungen bei einem Vergabewert von mehr als 300.000 € (brutto),</w:t>
      </w:r>
    </w:p>
    <w:p>
      <w:r>
        <w:t xml:space="preserve">8. Aufträge für Bauleistungen mit einem Vergabewert von mehr als 150.000 € (brutto) bei kurzfristigen Investitionen sowie mittel- und langfristigen Investitionen / Instandhaltungen, soweit die Gesamtkosten der Maßnahme 1.000.000 € (brutto) nicht überschreiten,</w:t>
      </w:r>
    </w:p>
    <w:p>
      <w:r>
        <w:t xml:space="preserve">9. die Entlastung der Betriebsleitung.</w:t>
      </w:r>
    </w:p>
    <w:p>
      <w:r>
        <w:t xml:space="preserve">(3) Die Betriebsleitung legt dem Betriebsausschuss vierteljährlich eine Übersicht über getätigte Vergaben ab einer Summe von 10.000 € vor.</w:t>
      </w:r>
    </w:p>
    <w:p>
      <w:r>
        <w:t xml:space="preserve">(4) Die Mitglieder des Betriebsausschusses haften entsprechend den gesetzlichen Bestimmungen.</w:t>
      </w:r>
    </w:p>
    <w:p>
      <w:r>
        <w:rPr>
          <w:color w:val="555555"/>
          <w:sz w:val="17"/>
        </w:rPr>
        <w:t xml:space="preserve">Zitiervorschlag: § 7 NW_29023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