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NW_29023 (Nordrhein-Westfalen) — Zahlungsverkehr</w:t>
      </w:r>
    </w:p>
    <w:p>
      <w:r>
        <w:rPr>
          <w:color w:val="555555"/>
          <w:sz w:val="18"/>
        </w:rPr>
        <w:t xml:space="preserve">Betriebssatzung für die LVR-InfoKom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Zahlungsabwicklung des Betriebes ist nach den Vorschriften der Gemeindeordnung (GO NRW) und der Verordnung über das Haushaltswesen der Gemeinden (GemHVO NRW) in der jeweils gültigen Fassung durchzuführen, soweit die Eigenbetriebsverordnung (EigVO NRW) nichts anderes bestimmt. Die Einzelheiten regelt eine Dienstanweisung des Direktors des Landschaftsverbandes Rheinland.</w:t>
      </w:r>
    </w:p>
    <w:p>
      <w:r>
        <w:rPr>
          <w:color w:val="555555"/>
          <w:sz w:val="17"/>
        </w:rPr>
        <w:t xml:space="preserve">Zitiervorschlag: § 13 NW_29023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https://recht.nulegal.eu/gesetze/NW_29023/13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