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NW_29023 (Nordrhein-Westfalen) — Rechtsform, Name, Stammkapital</w:t>
      </w:r>
    </w:p>
    <w:p>
      <w:r>
        <w:rPr>
          <w:color w:val="555555"/>
          <w:sz w:val="18"/>
        </w:rPr>
        <w:t xml:space="preserve">Betriebssatzung für die LVR-InfoKom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LVR-InfoKom wird als wirtschaftlich und organisatorisch eigenständige Einrichtung des Landschaftsverbandes Rheinland wie ein Eigenbetrieb (Betrieb) geführt.</w:t>
      </w:r>
    </w:p>
    <w:p>
      <w:r>
        <w:t xml:space="preserve">Das Stammkapital des Betriebs beträgt 4.300.000 €.</w:t>
      </w:r>
    </w:p>
    <w:p>
      <w:r>
        <w:t xml:space="preserve">Die Liquidität des Betriebes wird durch die Inanspruchnahme von Kassenkrediten des Trägers sichergestellt.</w:t>
      </w:r>
    </w:p>
    <w:p>
      <w:r>
        <w:rPr>
          <w:color w:val="555555"/>
          <w:sz w:val="17"/>
        </w:rPr>
        <w:t xml:space="preserve">Zitiervorschlag: § 1 NW_29023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https://recht.nulegal.eu/gesetze/NW_29023/1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