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NW_29020 (Nordrhein-Westfalen) — Kommissionen, Unterausschüsse</w:t>
      </w:r>
    </w:p>
    <w:p>
      <w:r>
        <w:rPr>
          <w:color w:val="555555"/>
          <w:sz w:val="18"/>
        </w:rPr>
        <w:t xml:space="preserve">Hauptsatzung des Landschaftsverbandes Rheinland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Landschaftsausschuss kann zur Vorberatung Unterausschüsse, Kommissionen, Projektkommissionen und Beiräte einrichten. Näheres hierzu regelt die Geschäftsordnung der Landschaftsversammlung des Landschaftsverbandes Rheinland und ihrer Ausschüsse. Sitzungen der Unterausschüsse, Kommissionen, Projektkommissionen und Beiräte sind Sitzungen im Sinne des § 16 Absatz 1 LVerbO in Verbindung mit § 45 Absatz 5 GO NRW; im Übrigen wird auf die Entschädigungssatzung des LVR verwiesen.</w:t>
      </w:r>
    </w:p>
    <w:p>
      <w:r>
        <w:t xml:space="preserve">(2) Vorsitzende und stellvertretende Vorsitzende werden in entsprechender Anwendung von § 13 Abs. 4 und Abs. 5 LVerbO vom Landschaftsausschuss bestimmt.</w:t>
      </w:r>
    </w:p>
    <w:p>
      <w:r>
        <w:t xml:space="preserve">(3) Unterausschüsse des Landesjugendhilfeausschusses werden von diesen Regelungen nicht berührt.</w:t>
      </w:r>
    </w:p>
    <w:p>
      <w:r>
        <w:rPr>
          <w:color w:val="555555"/>
          <w:sz w:val="17"/>
        </w:rPr>
        <w:t xml:space="preserve">Zitiervorschlag: § 5 NW_29020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https://recht.nulegal.eu/gesetze/NW_29020/5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