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NW_29020 (Nordrhein-Westfalen) — Ausschüsse</w:t>
      </w:r>
    </w:p>
    <w:p>
      <w:r>
        <w:rPr>
          <w:color w:val="555555"/>
          <w:sz w:val="18"/>
        </w:rPr>
        <w:t xml:space="preserve">Hauptsatzung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Ausschüsse gemäß §§ 13 und 23 LVerbO in Verbindung mit § 101 GO NRW und der Eigenbetriebsverordnung, der Gemeindekrankenhausbetriebsverordnung und Sozialgesetzbuch Achtes Buch (SGB VIII) – Kinder und Jugendhilfe sind:</w:t>
      </w:r>
    </w:p>
    <w:p>
      <w:r>
        <w:t xml:space="preserve">- Finanz- und Wirtschaftsausschuss</w:t>
      </w:r>
    </w:p>
    <w:p>
      <w:r>
        <w:t xml:space="preserve">- Sozialausschuss</w:t>
      </w:r>
    </w:p>
    <w:p>
      <w:r>
        <w:t xml:space="preserve">- Gesundheitsausschuss</w:t>
      </w:r>
    </w:p>
    <w:p>
      <w:r>
        <w:t xml:space="preserve">- Kulturausschuss</w:t>
      </w:r>
    </w:p>
    <w:p>
      <w:r>
        <w:t xml:space="preserve">- Rechnungsprüfungsausschuss</w:t>
      </w:r>
    </w:p>
    <w:p>
      <w:r>
        <w:t xml:space="preserve">- Landesjugendhilfeausschuss</w:t>
      </w:r>
    </w:p>
    <w:p>
      <w:r>
        <w:t xml:space="preserve">- Krankenhausausschüsse</w:t>
      </w:r>
    </w:p>
    <w:p>
      <w:r>
        <w:t xml:space="preserve">- Betriebsausschuss für die LVR-Krankenhauszentralwäscherei</w:t>
      </w:r>
    </w:p>
    <w:p>
      <w:r>
        <w:t xml:space="preserve">- Betriebsausschuss für den LVR-Verbund Heilpädagogischer Hilfen</w:t>
      </w:r>
    </w:p>
    <w:p>
      <w:r>
        <w:t xml:space="preserve">- Betriebsausschuss für die LVR-InfoKom</w:t>
      </w:r>
    </w:p>
    <w:p>
      <w:r>
        <w:t xml:space="preserve">- Betriebsausschuss für die LVR-Jugendhilfe Rheinland.</w:t>
      </w:r>
    </w:p>
    <w:p>
      <w:r>
        <w:t xml:space="preserve">(2) Darüber hinaus werden folgende Ausschüsse gebildet:</w:t>
      </w:r>
    </w:p>
    <w:p>
      <w:r>
        <w:t xml:space="preserve">- Ausschuss für Personal und allgemeine Verwaltung</w:t>
      </w:r>
    </w:p>
    <w:p>
      <w:r>
        <w:t xml:space="preserve">- Ausschuss für den LVR-Verbund Heilpädagogischer Hilfen (als Fachausschuss)</w:t>
      </w:r>
    </w:p>
    <w:p>
      <w:r>
        <w:t xml:space="preserve">- Bau- und Vergabeausschuss</w:t>
      </w:r>
    </w:p>
    <w:p>
      <w:r>
        <w:t xml:space="preserve">- Schulausschuss</w:t>
      </w:r>
    </w:p>
    <w:p>
      <w:r>
        <w:t xml:space="preserve">- Umweltausschuss</w:t>
      </w:r>
    </w:p>
    <w:p>
      <w:r>
        <w:t xml:space="preserve">- Ausschuss für Inklusion.</w:t>
      </w:r>
    </w:p>
    <w:p>
      <w:r>
        <w:t xml:space="preserve">(3) Soweit die Zuständigkeit der Fachausschüsse nicht durch Gesetz oder Satzung festgelegt ist, regelt der Landschaftsausschuss Zuständigkeiten und Befugnisse.</w:t>
      </w:r>
    </w:p>
    <w:p>
      <w:r>
        <w:t xml:space="preserve">(4) Die Landschaftsversammlung bestimmt die Zahl der Mitglieder sowie die Zahl und Reihenfolge der stellvertretenden Mitglieder der Ausschüsse. Kommt kein gemeinsamer Wahlvorschlag zustande, so erfolgt die Besetzung der Ausschüsse gemäß § 10 Absatz 5 LVerbO in Verbindung mit § 50 Abs. 3 GO NRW. Für den Landesjugendhilfeausschuss gelten die Bestimmungen des AG KJHG.</w:t>
      </w:r>
    </w:p>
    <w:p>
      <w:r>
        <w:t xml:space="preserve">(5) Die Landschaftsversammlung kann jeden Ausschuss durch Mehrheitsbeschluss auflösen. Hiervon ausgenommen sind der Landschaftsausschuss und der Landesjugendhilfeausschuss.</w:t>
      </w:r>
    </w:p>
    <w:p>
      <w:r>
        <w:t xml:space="preserve">(6) Scheidet ein Mitglied oder ein stellvertretendes Mitglied aus einem Fachausschuss aus, so wählt die Landschaftsversammlung auf Vorschlag derjenigen Fraktion oder Gruppe, die die Ausgeschiedene/den Ausgeschiedenen vorgeschlagen hatte, eine Nachfolgerin/einen Nachfolger; ist die Fraktion oder Gruppe zu einem Vorschlag nicht in der Lage oder gehört das Mitglied oder die Stellvertreterin/der Stellvertreter keiner Fraktion oder Gruppe an, so bleibt der Sitz unbesetzt.</w:t>
      </w:r>
    </w:p>
    <w:p>
      <w:r>
        <w:rPr>
          <w:color w:val="555555"/>
          <w:sz w:val="17"/>
        </w:rPr>
        <w:t xml:space="preserve">Zitiervorschlag: § 4 NW_29020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