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NW_29020 (Nordrhein-Westfalen) — Öffentliche Bekanntmachung</w:t>
      </w:r>
    </w:p>
    <w:p>
      <w:r>
        <w:rPr>
          <w:color w:val="555555"/>
          <w:sz w:val="18"/>
        </w:rPr>
        <w:t xml:space="preserve">Hauptsatzung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Öffentliche Bekanntmachungen von Satzungen und sonstigen durch Rechtsvorschrift vorgeschriebene öffentliche Bekanntmachungen des Landschaftsverbandes Rheinland werden vollzogen durch Bereitstellung im Internet unter www.bekanntmachungen.lvr.de.</w:t>
      </w:r>
    </w:p>
    <w:p>
      <w:r>
        <w:t xml:space="preserve">Auf die öffentlichen Bekanntmachungen wird unter Bereitstellung der Internetadresse im Ministerialblatt für das Land Nordrhein-Westfalen nachrichtlich hingewiesen.</w:t>
      </w:r>
    </w:p>
    <w:p>
      <w:r>
        <w:t xml:space="preserve">(2) Satzungen treten, wenn kein anderer Zeitpunkt in der Satzung bestimmt ist, am Tag nach ihrer öffentlichen Bekanntmachung auf der Internetseite des Landschaftsverbandes Rheinland in Kraft.</w:t>
      </w:r>
    </w:p>
    <w:p>
      <w:r>
        <w:rPr>
          <w:color w:val="555555"/>
          <w:sz w:val="17"/>
        </w:rPr>
        <w:t xml:space="preserve">Zitiervorschlag: § 14 NW_29020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https://recht.nulegal.eu/gesetze/NW_29020/14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