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NW_29020 (Nordrhein-Westfalen) — Unterzeichnen von Urkunden und Einstellungsverträgen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geltendem Recht auszustellenden Urkunden für die Beamtinnen/Beamten sind vom/von der Direktor/Direktorin des Landschaftsverbandes Rheinland oder seinem/ihrer allgemeinen Vertreter/in und dem sachlich zuständigen Landesrat oder der nach § 21 Abs. 2, 2. Halbsatz LVerbO bevollmächtigten Person zu unterzeichnen.</w:t>
      </w:r>
    </w:p>
    <w:p>
      <w:r>
        <w:t xml:space="preserve">(2) Der/Die Direktor/Direktorin des Landschaftsverbandes Rheinland kann nachgeordnete Beamtinnen/Beamte und Beschäftigte ermächtigen, Einstellungsverträge und sonstige Regelungen der Rechtsverhältnisse von Beschäftigten zu unterzeichnen.</w:t>
      </w:r>
    </w:p>
    <w:p>
      <w:r>
        <w:rPr>
          <w:color w:val="555555"/>
          <w:sz w:val="17"/>
        </w:rPr>
        <w:t xml:space="preserve">Zitiervorschlag: § 13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