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NW_29017 (Nordrhein-Westfalen) — In-Kraft-Treten</w:t>
      </w:r>
    </w:p>
    <w:p>
      <w:r>
        <w:rPr>
          <w:color w:val="555555"/>
          <w:sz w:val="18"/>
        </w:rPr>
        <w:t xml:space="preserve">Pilotprojektsatzung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 nach ihrer Bekanntmachung im Gesetz- und Verordnungsblatt des Landes Nordrhein-Westfalen in Kraft.</w:t>
      </w:r>
    </w:p>
    <w:p>
      <w:r>
        <w:t xml:space="preserve">Der Direktor</w:t>
      </w:r>
    </w:p>
    <w:p>
      <w:r>
        <w:t xml:space="preserve">der Landesanstalt für Medien (LfM)</w:t>
      </w:r>
    </w:p>
    <w:p>
      <w:r>
        <w:t xml:space="preserve">Prof. Dr. Norbert S c h n e i d e r</w:t>
      </w:r>
    </w:p>
    <w:p>
      <w:r>
        <w:rPr>
          <w:color w:val="555555"/>
          <w:sz w:val="17"/>
        </w:rPr>
        <w:t xml:space="preserve">Zitiervorschlag: § 6 NW_29017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https://recht.nulegal.eu/gesetze/NW_29017/6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