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NW_29017 (Nordrhein-Westfalen) — Antrag</w:t>
      </w:r>
    </w:p>
    <w:p>
      <w:r>
        <w:rPr>
          <w:color w:val="555555"/>
          <w:sz w:val="18"/>
        </w:rPr>
        <w:t xml:space="preserve">Pilotprojektsatzung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Anträge müssen schriftlich bei der LfM eingereicht werden. Den Anträgen sind eine Projektbeschreibung und ein Finanzierungsplan beizufügen.</w:t>
      </w:r>
    </w:p>
    <w:p>
      <w:r>
        <w:t xml:space="preserve">(2) Die LfM kann darüber hinaus weitere Informationen und Nachweise verlangen.</w:t>
      </w:r>
    </w:p>
    <w:p>
      <w:r>
        <w:rPr>
          <w:color w:val="555555"/>
          <w:sz w:val="17"/>
        </w:rPr>
        <w:t xml:space="preserve">Zitiervorschlag: § 3 NW_29017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https://recht.nulegal.eu/gesetze/NW_29017/3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