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NW_29016 (Nordrhein-Westfalen) — Einigung</w:t>
      </w:r>
    </w:p>
    <w:p>
      <w:r>
        <w:rPr>
          <w:color w:val="555555"/>
          <w:sz w:val="18"/>
        </w:rPr>
        <w:t xml:space="preserve">Satzung der Landesanstalt für Medien Nordrhein-Westfalen (LfM) über die Erhebung von Ausgleichsleistungen - Ausgleichsleistungssatzung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Treffen die Veranstaltergemeinschaft und der Veranstalter des Rahmenprogramms eine Vereinbarung, die der LfM vorzulegen ist und die den Grundsätzen des § 2 entspricht, so erhebt die LfM keine Ausgleichsleistung.</w:t>
      </w:r>
    </w:p>
    <w:p>
      <w:r>
        <w:t xml:space="preserve">(2) Weicht die Vereinbarung nicht nur geringfügig von den Grundsätzen des § 2 ab, so erhebt die LfM vom Veranstalter des Rahmenprogramms eine Ausgleichsleistung in der Höhe, die sich aus der Differenz zwischen der nach § 2 und der aufgrund der Vereinbarung zu zahlenden Ausgleichsleistung ergibt.</w:t>
      </w:r>
    </w:p>
    <w:p>
      <w:r>
        <w:rPr>
          <w:color w:val="555555"/>
          <w:sz w:val="17"/>
        </w:rPr>
        <w:t xml:space="preserve">Zitiervorschlag: § 6 NW_29016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