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NW_29016 (Nordrhein-Westfalen) — Rechtsbehelf</w:t>
      </w:r>
    </w:p>
    <w:p>
      <w:r>
        <w:rPr>
          <w:color w:val="555555"/>
          <w:sz w:val="18"/>
        </w:rPr>
        <w:t xml:space="preserve">Satzung der Landesanstalt für Medien Nordrhein-Westfalen (LfM) über die Erhebung von Ausgleichsleistungen - Ausgleichsleistungssatzung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Bescheid nach § 3 kann im Wege des Widerspruchsverfahrens angefochten werden.</w:t>
      </w:r>
    </w:p>
    <w:p>
      <w:r>
        <w:rPr>
          <w:color w:val="555555"/>
          <w:sz w:val="17"/>
        </w:rPr>
        <w:t xml:space="preserve">Zitiervorschlag: § 4 NW_29016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https://recht.nulegal.eu/gesetze/NW_29016/4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