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NW_29016 (Nordrhein-Westfalen) — Verfahren</w:t>
      </w:r>
    </w:p>
    <w:p>
      <w:r>
        <w:rPr>
          <w:color w:val="555555"/>
          <w:sz w:val="18"/>
        </w:rPr>
        <w:t xml:space="preserve">Satzung der Landesanstalt für Medien Nordrhein-Westfalen (LfM) über die Erhebung von Ausgleichsleistungen - Ausgleichsleistungssatzung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Ausgleichsleistung wird einen Monat nach Bekanntgabe des Bescheides an den Ausgleichsleistungsschuldner fällig, wenn nicht die LfM einen späteren Zeitpunkt bestimmt. Die LfM ist berechtigt, von der jeweiligen Veranstaltergemeinschaft/Betriebsgesellschaft Auskunft über die tatsächlichen Sende- und Leitungskosten zu verlangen.</w:t>
      </w:r>
    </w:p>
    <w:p>
      <w:r>
        <w:t xml:space="preserve">(2) Die LfM erhebt die Ausgleichsleistung für einen jeweils halbjährigen Zeitraum nachträglich. Der Ausgleichsleistungsbescheid soll innerhalb von zwei Monaten nach Ende des Berechnungszeitraumes ergehen.</w:t>
      </w:r>
    </w:p>
    <w:p>
      <w:r>
        <w:rPr>
          <w:color w:val="555555"/>
          <w:sz w:val="17"/>
        </w:rPr>
        <w:t xml:space="preserve">Zitiervorschlag: § 3 NW_29016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https://recht.nulegal.eu/gesetze/NW_29016/3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