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NW_29013 (Nordrhein-Westfalen) — Errechnung der Lehrerstellen</w:t>
      </w:r>
    </w:p>
    <w:p>
      <w:r>
        <w:rPr>
          <w:color w:val="555555"/>
          <w:sz w:val="18"/>
        </w:rPr>
        <w:t xml:space="preserve">VO zu § 93 Abs. 2 SchulG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Zahl der zur Deckung des normalen Unterrichtsbedarfs erforderlichen Lehrerstellen ist in der Weise zu errechnen, dass die Zahl der Schülerinnen und Schüler durch die in § 8 Abs. 1 jeweils festgesetzte Relation „Schülerinnen und Schüler je Stelle“ (Zahl der Schülerinnen und Schüler je Lehrerstelle) geteilt wird (Grundstellenzahl). Bei der Zuweisung an die Schulen werden die Lehrerstellen auf eine Dezimalstelle auf- oder abgerundet.</w:t>
      </w:r>
    </w:p>
    <w:p>
      <w:r>
        <w:t xml:space="preserve">(2) Grundlage für die Ermittlung der Schülerzahl ist zunächst die amtliche Schulstatistik nach dem Stand vom 15. Oktober des vorangegangenen Schuljahres unter Berücksichtigung der inzwischen eingetretenen sowie der bis zu dem Stichtag 15. Oktober im laufenden Schuljahr vorausberechneten Änderungen. Maßgebend für die endgültige Stellenberechnung ist die Schülerzahl zum Stichtag 15. Oktober im laufenden Schuljahr.</w:t>
      </w:r>
    </w:p>
    <w:p>
      <w:r>
        <w:t xml:space="preserve">(3) Im Rahmen der sich nach Absatz 1 Satz 1 für das Land ergebenden Stellenzahl kann das für das Schulwesen zuständige Ministerium bestimmen, dass bei der Errechnung der Lehrerstellen für die einzelne Schule über die Regelung in Absatz 1 Satz 2 hinaus auf ganze, halbe oder über ganze Stellen hinweg auf halbe Stellen - höchstens bis zum Umfang einer Stelle - auf- oder abgerundet wird. Die für die Aufrundung nicht benötigten Stellen sollen für besondere pädagogische oder schulübergreifende Aufgaben sowie unvorhergesehenen Bedarf verwendet werden.</w:t>
      </w:r>
    </w:p>
    <w:p>
      <w:r>
        <w:t xml:space="preserve">(4) Stellen, die im Landeshaushalt als künftig wegfallend bezeichnet sind (Überhangstellen), sind zur Herstellung gleichmäßiger Unterrichtsbedingungen nach pädagogischen und unterrichtsorganisatorischen Gesichtspunkten zu verteilen.</w:t>
      </w:r>
    </w:p>
    <w:p>
      <w:r>
        <w:rPr>
          <w:color w:val="555555"/>
          <w:sz w:val="17"/>
        </w:rPr>
        <w:t xml:space="preserve">Zitiervorschlag: § 7 NW_29013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https://recht.nulegal.eu/gesetze/NW_29013/7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