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NW_29013 (Nordrhein-Westfalen) — Zusätzliche wöchentliche Pflichtstunden(Vorgriffsstunden)</w:t>
      </w:r>
    </w:p>
    <w:p>
      <w:r>
        <w:rPr>
          <w:color w:val="555555"/>
          <w:sz w:val="18"/>
        </w:rPr>
        <w:t xml:space="preserve">VO zu § 93 Abs. 2 SchulG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 der wöchentlichen Pflichtstunden nach § 2 Abs. 1 erhöht sich bis zum Ende des ersten Schulhalbjahres 2003/04 für Lehrerinnen und Lehrer, die vor Beginn des jeweiligen Schuljahres das 30. Lebensjahr vollendet, aber das 50. Lebensjahr noch nicht vollendet haben, vorübergehend für einen Zeitraum von bis zu sechs Jahren um eine Stunde.</w:t>
      </w:r>
    </w:p>
    <w:p>
      <w:r>
        <w:t xml:space="preserve">(2) Der zeitliche Ausgleich für die zwischen dem ersten Schulhalbjahr 1997/1998 und dem ersten Schulhalbjahr 2003/2004 geleisteten Vorgriffsstunden erfolgt durch Absenkung der Pflichtstundenzahl schrittweise ab dem Schuljahr 2008/09. Jeweils im elften Schuljahr nach dem Ende eines Schuljahres, in dem Lehrerinnen und Lehrer zur Leistung einer zusätzlichen Pflichtstunde auf der Grundlage des Absatzes 1 verpflichtet waren, ermäßigt sich ihre Pflichtstundenzahl nach § 2 Abs. 1 für einen der Dauer der Leistung entsprechenden Zeitraum um eine Stunde.</w:t>
      </w:r>
    </w:p>
    <w:p>
      <w:r>
        <w:t xml:space="preserve">(3) Abweichend von Absatz 2 kann die Rückgabe der geleisteten Vorgriffsstunden auf Antrag der Lehrerin oder des Lehrers auch flexibel in Anspruch genommen werden. Die flexibilisierte Inanspruchnahme ist frühestens ab dem Schuljahr 2010/2011 und nach Eintritt der jeweiligen Fälligkeit gemäß Absatz 2 Satz 2 möglich. Zulässig sind</w:t>
      </w:r>
    </w:p>
    <w:p>
      <w:r>
        <w:t xml:space="preserve">a) eine zeitlich nach hinten versetzte sukzessive Inanspruchnahme der Rückgabe,</w:t>
      </w:r>
    </w:p>
    <w:p>
      <w:r>
        <w:t xml:space="preserve">b) eine Blockbildung der Vorgriffsstunden sowie</w:t>
      </w:r>
    </w:p>
    <w:p>
      <w:r>
        <w:t xml:space="preserve">c) Mischformen von a) und b).</w:t>
      </w:r>
    </w:p>
    <w:p>
      <w:r>
        <w:rPr>
          <w:color w:val="555555"/>
          <w:sz w:val="17"/>
        </w:rPr>
        <w:t xml:space="preserve">Zitiervorschlag: § 4 NW_29013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