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NW_29013 (Nordrhein-Westfalen) — Pflichtstunden-Bandbreite</w:t>
      </w:r>
    </w:p>
    <w:p>
      <w:r>
        <w:rPr>
          <w:color w:val="555555"/>
          <w:sz w:val="18"/>
        </w:rPr>
        <w:t xml:space="preserve">VO zu § 93 Abs. 2 SchulG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unterschiedliche zeitliche Inanspruchnahme von Lehrerinnen und Lehrern durch besondere schulische Aufgaben und besondere unterrichtliche Belastungen soll in der Schule ausgeglichen werden. Soweit dies im Einzelnen erforderlich ist und die besonderen Belastungen sich nicht aus dem Inhalt des Amtes ergeben, können die in § 2 Abs. 1 genannten Werte unterschritten oder um bis zu drei Pflichtstunden überschritten werden. Die Abweichungen müssen sich in der Schule insgesamt ausgleichen. Die Verteilung der Anrechnungsstunden nach § 2 Abs. 5 ist zu berücksichtigen.</w:t>
      </w:r>
    </w:p>
    <w:p>
      <w:r>
        <w:t xml:space="preserve">(2) Über Grundsätze für die Festlegung der individuellen Pflichtstundenzahl entscheidet die Lehrerkonferenz auf Vorschlag der Schulleiterin oder des Schulleiters. Die Entscheidung im Einzelnen trifft die Schulleiterin oder der Schulleiter.</w:t>
      </w:r>
    </w:p>
    <w:p>
      <w:r>
        <w:rPr>
          <w:color w:val="555555"/>
          <w:sz w:val="17"/>
        </w:rPr>
        <w:t xml:space="preserve">Zitiervorschlag: § 3 NW_29013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https://recht.nulegal.eu/gesetze/NW_29013/3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