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NW_29013 (Nordrhein-Westfalen) — Inkrafttreten/Außerkrafttreten</w:t>
      </w:r>
    </w:p>
    <w:p>
      <w:r>
        <w:rPr>
          <w:color w:val="555555"/>
          <w:sz w:val="18"/>
        </w:rPr>
        <w:t xml:space="preserve">VO zu § 93 Abs. 2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August 2005 in Kraft.</w:t>
      </w:r>
    </w:p>
    <w:p>
      <w:r>
        <w:t xml:space="preserve">(2) Die §§ 8 bis 10 treten am 31. Juli 2027 außer Kraft.</w:t>
      </w:r>
    </w:p>
    <w:p>
      <w:r>
        <w:t xml:space="preserve">(3) § 6 Absatz 5 Nummer 1 Buchstabe d und Nummer 2 Buchstabe b treten am 31. Juli 2019 außer Kraft.</w:t>
      </w:r>
    </w:p>
    <w:p>
      <w:r>
        <w:rPr>
          <w:color w:val="555555"/>
          <w:sz w:val="17"/>
        </w:rPr>
        <w:t xml:space="preserve">Zitiervorschlag: § 13 NW_29013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