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NW_29013 (Nordrhein-Westfalen) — Ausgleichsbedarf</w:t>
      </w:r>
    </w:p>
    <w:p>
      <w:r>
        <w:rPr>
          <w:color w:val="555555"/>
          <w:sz w:val="18"/>
        </w:rPr>
        <w:t xml:space="preserve">VO zu § 93 Abs. 2 SchulG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Das für das Schulwesen zuständige Ministerium kann den Schulaufsichtsbehörden zusätzliche Stellen oder Mittel zuweisen zum Ausgleich für:</w:t>
      </w:r>
    </w:p>
    <w:p>
      <w:r>
        <w:t xml:space="preserve">1. Vertretungsunterricht, insbesondere bei langfristigen Erkrankungen und Mutterschutz sowie für eine Vertretungsreserve Grundschule,</w:t>
      </w:r>
    </w:p>
    <w:p>
      <w:r>
        <w:t xml:space="preserve">2. Tätigkeit von Lehrkräften, die gleichzeitig als Fachleiterinnen oder Fachleiter an einem Zentrum für schulpraktische Lehrerausbildung tätig sind, sowie</w:t>
      </w:r>
    </w:p>
    <w:p>
      <w:r>
        <w:t xml:space="preserve">3. Personalratstätigkeit und Tätigkeit in einer Schwerbehindertenvertretung in Höhe der gewährten Anrechnungsstunden.</w:t>
      </w:r>
    </w:p>
    <w:p>
      <w:r>
        <w:t xml:space="preserve">(2) Das für das Schulwesen zuständige Ministerium kann den Schulaufsichtsbehörden nach näherer Bestimmung des Haushalts zusätzliche Stellen oder Mittel zuweisen, insbesondere zum Ausgleich für Lehrerinnen und Lehrer, denen die Vorgriffsstunde zurückgewährt wird, für Fortbildung und Qualifikation, für Medienberatung und Datenschutz, für Ansprechpersonen für LOGINEO NRW, zur Betreuung von Praktikantinnen und Praktikanten in den Praxiselementen nach dem Lehrerausbildungsgesetz vom 12. Mai 2009 (GV. NRW. S. 308), das zuletzt durch Artikel 2 des Gesetzes vom 27. Mai 2025 (GV. NRW. S. 501) geändert worden ist, für Curriculumentwicklung, für Aufgaben der inneren Schulentwicklung, für Schulversuche, für Fachberatung in der Schulaufsicht, für Berufs- und Studienorientierung, für Beratung zur Suchtvorbeugung, für Beratung für den Schulsport, für Schulbuchgenehmigung und Softwareberatung, für die flächendeckende Unterrichtsausfallerhebung, zur Unterstützung des Inklusionsprozesses, für die Mitarbeit in Kommunalen Integrationszentren zur Förderung von Kindern und Jugendlichen aus Zuwandererfamilien und für die Prävention und Intervention gegen Antisemitismus, Rechtsextremismus und Linksextremismus, Salafismus, für das Programm ‚Internationale Lehrkräfte Fördern (ILF)‘ sowie für Entlastungen beim Seiteneinstieg im Zusammenhang mit dem Dualen Master.</w:t>
      </w:r>
    </w:p>
    <w:p>
      <w:r>
        <w:rPr>
          <w:color w:val="555555"/>
          <w:sz w:val="17"/>
        </w:rPr>
        <w:t xml:space="preserve">Zitiervorschlag: § 10 NW_29013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https://recht.nulegal.eu/gesetze/NW_29013/10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