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NW_28991 (Nordrhein-Westfalen) — Prüfungszeugnis</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Prüflinge, die die Prüfung bestanden haben, erhalten von dem Prüfungsausschuss ein Zeugnis nach dem vom Ministerium durch Erlass bestimmten Muster.</w:t>
      </w:r>
    </w:p>
    <w:p>
      <w:r>
        <w:t xml:space="preserve">(2) Der Prüfling erhält vom Prüfungsausschuss einen Nachweis darüber, dass er nach dem Bestehen der Prüfung die Befähigung für die amtliche Lebensmittelkontrolle besitzt und berechtigt ist, die Bezeichnung „Lebensmittelkontrolleurin“ oder „Lebensmittelkontrolleur“ zu führen, nach dem vom Ministerium durch Erlass bestimmten Muster.</w:t>
      </w:r>
    </w:p>
    <w:p>
      <w:r>
        <w:t xml:space="preserve">(3) Je eine Ausfertigung des Zeugnisses und des Befähigungsnachweises ist zu der Prüfungsakte zu nehmen sowie der Ausbildungsbehörde zur Aufnahme in die Ausbildungsakte zuzuleiten.</w:t>
      </w:r>
    </w:p>
    <w:p>
      <w:r>
        <w:rPr>
          <w:color w:val="555555"/>
          <w:sz w:val="17"/>
        </w:rPr>
        <w:t xml:space="preserve">Zitiervorschlag: § 25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