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NW_28979 (Nordrhein-Westfalen)</w:t>
      </w:r>
    </w:p>
    <w:p>
      <w:r>
        <w:rPr>
          <w:color w:val="555555"/>
          <w:sz w:val="18"/>
        </w:rPr>
        <w:t xml:space="preserve">Bekanntmachung des Verwaltungsabkommens zwischen den Ländern Niedersachsen und Nordrhein-Westfalen über die Durchführung wasserschutzpolizeilicher Aufgaben auf dem Mittellandkanal und auf der Weser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Niedersachsen ist damit einverstanden, dass das Land Nordrhein-Westfalen in Bramsche eine Dienststelle der Wasserschutzpolizei unterhält.</w:t>
      </w:r>
    </w:p>
    <w:p>
      <w:r>
        <w:t xml:space="preserve">(2) Ein Kostenausgleich findet nicht statt.</w:t>
      </w:r>
    </w:p>
    <w:p>
      <w:r>
        <w:t xml:space="preserve">(3) Die von der Wasserschutzpolizei erhobenen Verwarnungsgelder fließen in die Kasse des Landes, dessen Polizeibeamtinnen und -beamte die Verwarnung erteilt haben.</w:t>
      </w:r>
    </w:p>
    <w:p>
      <w:r>
        <w:rPr>
          <w:color w:val="555555"/>
          <w:sz w:val="17"/>
        </w:rPr>
        <w:t xml:space="preserve">Zitiervorschlag: Art 4 NW_28979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https://recht.nulegal.eu/gesetze/NW_28979/4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