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NW_28971 (Nordrhein-Westfalen)</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20. April 2005</w:t>
      </w:r>
    </w:p>
    <w:p>
      <w:r>
        <w:t xml:space="preserve">Aufgrund des § 28 des Gesetzes über die Errichtung von Landwirtschaftskammern im Land Nordrhein-Westfalen vom 11. Februar 1949 (GS. NRW. S. 706), zuletzt geändert durch Gesetz vom 5. April 2005 (GV. NRW. S. 274), wird im Einvernehmen mit dem zuständigen Ausschuss des Landtags verordnet:</w:t>
      </w:r>
    </w:p>
    <w:p>
      <w:r>
        <w:rPr>
          <w:color w:val="555555"/>
          <w:sz w:val="17"/>
        </w:rPr>
        <w:t xml:space="preserve">Zitiervorschlag: Eingangsformel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