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NW_28971 (Nordrhein-Westfalen) — Öffentliche Auslegung</w:t>
      </w:r>
    </w:p>
    <w:p>
      <w:r>
        <w:rPr>
          <w:color w:val="555555"/>
          <w:sz w:val="18"/>
        </w:rPr>
        <w:t xml:space="preserve">LK-Wahlordnung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Wählerlisten werden vom 43. bis 36. Tag vor dem Wahltermin zur allgemeinen Einsicht bei der Dienststelle der Wahlleitung öffentlich ausgelegt.</w:t>
      </w:r>
    </w:p>
    <w:p>
      <w:r>
        <w:t xml:space="preserve">(2) Die Wahlleitung hat Ort und Zeit der Auslegung der Wählerliste vorher nach dem Muster der Anlage 2 öffentlich bekannt zu machen und dabei darauf hinzuweisen, dass Einsprüche gegen die Richtigkeit der Liste spätestens biszum Ablauf der Auslegungsfrist bei ihr oder ihm erhoben werden können.</w:t>
      </w:r>
    </w:p>
    <w:p>
      <w:r>
        <w:rPr>
          <w:color w:val="555555"/>
          <w:sz w:val="17"/>
        </w:rPr>
        <w:t xml:space="preserve">Zitiervorschlag: § 5 NW_28971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https://recht.nulegal.eu/gesetze/NW_28971/5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